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320"/>
      </w:pPr>
      <w:r>
        <w:rPr>
          <w:rFonts w:ascii="Arial" w:cs="Arial" w:eastAsia="Arial" w:hAnsi="Arial"/>
          <w:b/>
          <w:bCs/>
          <w:caps/>
          <w:color w:val="9CA3AF"/>
          <w:sz w:val="18"/>
          <w:szCs w:val="18"/>
        </w:rPr>
        <w:t xml:space="preserve">SOFTWARE APPROVAL REQUEST</w:t>
      </w:r>
    </w:p>
    <w:p>
      <w:pPr>
        <w:spacing w:after="200" w:before="0"/>
      </w:pPr>
      <w:r>
        <w:rPr>
          <w:rFonts w:ascii="Arial" w:cs="Arial" w:eastAsia="Arial" w:hAnsi="Arial"/>
          <w:b/>
          <w:bCs/>
          <w:color w:val="0070B8"/>
          <w:sz w:val="56"/>
          <w:szCs w:val="56"/>
        </w:rPr>
        <w:t xml:space="preserve">Bridger</w:t>
      </w:r>
    </w:p>
    <w:p>
      <w:pPr>
        <w:spacing w:after="80" w:before="0"/>
      </w:pPr>
      <w:r>
        <w:rPr>
          <w:rFonts w:ascii="Arial" w:cs="Arial" w:eastAsia="Arial" w:hAnsi="Arial"/>
          <w:color w:val="4A5568"/>
          <w:sz w:val="28"/>
          <w:szCs w:val="28"/>
        </w:rPr>
        <w:t xml:space="preserve">Data Migration Planning Tool</w:t>
      </w:r>
    </w:p>
    <w:p>
      <w:pPr>
        <w:spacing w:after="400" w:before="0"/>
      </w:pPr>
      <w:r>
        <w:rPr>
          <w:rFonts w:ascii="Arial" w:cs="Arial" w:eastAsia="Arial" w:hAnsi="Arial"/>
          <w:i/>
          <w:iCs/>
          <w:color w:val="718096"/>
          <w:sz w:val="24"/>
          <w:szCs w:val="24"/>
        </w:rPr>
        <w:t xml:space="preserve">Business Justification &amp; IT Security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b/>
                <w:bCs/>
                <w:color w:val="1B4F72"/>
                <w:sz w:val="20"/>
                <w:szCs w:val="20"/>
              </w:rPr>
              <w:t xml:space="preserve">Vendor</w:t>
            </w:r>
          </w:p>
        </w:tc>
        <w:tc>
          <w:tcPr>
            <w:tcW w:type="dxa" w:w="716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color w:val="1A1A2E"/>
                <w:sz w:val="20"/>
                <w:szCs w:val="20"/>
              </w:rPr>
              <w:t xml:space="preserve">Bridger DMA</w:t>
            </w:r>
          </w:p>
        </w:tc>
      </w:tr>
      <w:tr>
        <w:tc>
          <w:tcPr>
            <w:tcW w:type="dxa" w:w="220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b/>
                <w:bCs/>
                <w:color w:val="1B4F72"/>
                <w:sz w:val="20"/>
                <w:szCs w:val="20"/>
              </w:rPr>
              <w:t xml:space="preserve">Product</w:t>
            </w:r>
          </w:p>
        </w:tc>
        <w:tc>
          <w:tcPr>
            <w:tcW w:type="dxa" w:w="716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color w:val="1A1A2E"/>
                <w:sz w:val="20"/>
                <w:szCs w:val="20"/>
              </w:rPr>
              <w:t xml:space="preserve">Bridger (Windows)</w:t>
            </w:r>
          </w:p>
        </w:tc>
      </w:tr>
      <w:tr>
        <w:tc>
          <w:tcPr>
            <w:tcW w:type="dxa" w:w="220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b/>
                <w:bCs/>
                <w:color w:val="1B4F72"/>
                <w:sz w:val="20"/>
                <w:szCs w:val="20"/>
              </w:rPr>
              <w:t xml:space="preserve">Version</w:t>
            </w:r>
          </w:p>
        </w:tc>
        <w:tc>
          <w:tcPr>
            <w:tcW w:type="dxa" w:w="716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color w:val="1A1A2E"/>
                <w:sz w:val="20"/>
                <w:szCs w:val="20"/>
              </w:rPr>
              <w:t xml:space="preserve">Current release</w:t>
            </w:r>
          </w:p>
        </w:tc>
      </w:tr>
      <w:tr>
        <w:tc>
          <w:tcPr>
            <w:tcW w:type="dxa" w:w="220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b/>
                <w:bCs/>
                <w:color w:val="1B4F72"/>
                <w:sz w:val="20"/>
                <w:szCs w:val="20"/>
              </w:rPr>
              <w:t xml:space="preserve">License type</w:t>
            </w:r>
          </w:p>
        </w:tc>
        <w:tc>
          <w:tcPr>
            <w:tcW w:type="dxa" w:w="716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color w:val="1A1A2E"/>
                <w:sz w:val="20"/>
                <w:szCs w:val="20"/>
              </w:rPr>
              <w:t xml:space="preserve">Perpetual — single machine, no subscription</w:t>
            </w:r>
          </w:p>
        </w:tc>
      </w:tr>
      <w:tr>
        <w:tc>
          <w:tcPr>
            <w:tcW w:type="dxa" w:w="220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b/>
                <w:bCs/>
                <w:color w:val="1B4F72"/>
                <w:sz w:val="20"/>
                <w:szCs w:val="20"/>
              </w:rPr>
              <w:t xml:space="preserve">Contact</w:t>
            </w:r>
          </w:p>
        </w:tc>
        <w:tc>
          <w:tcPr>
            <w:tcW w:type="dxa" w:w="716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color w:val="1A1A2E"/>
                <w:sz w:val="20"/>
                <w:szCs w:val="20"/>
              </w:rPr>
              <w:t xml:space="preserve">bridger@bridger-dma.com</w:t>
            </w:r>
          </w:p>
        </w:tc>
      </w:tr>
      <w:tr>
        <w:tc>
          <w:tcPr>
            <w:tcW w:type="dxa" w:w="220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b/>
                <w:bCs/>
                <w:color w:val="1B4F72"/>
                <w:sz w:val="20"/>
                <w:szCs w:val="20"/>
              </w:rPr>
              <w:t xml:space="preserve">Prepared for</w:t>
            </w:r>
          </w:p>
        </w:tc>
        <w:tc>
          <w:tcPr>
            <w:tcW w:type="dxa" w:w="716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color w:val="1A1A2E"/>
                <w:sz w:val="20"/>
                <w:szCs w:val="20"/>
              </w:rPr>
              <w:t xml:space="preserve">[Organization name]</w:t>
            </w:r>
          </w:p>
        </w:tc>
      </w:tr>
      <w:tr>
        <w:tc>
          <w:tcPr>
            <w:tcW w:type="dxa" w:w="220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b/>
                <w:bCs/>
                <w:color w:val="1B4F72"/>
                <w:sz w:val="20"/>
                <w:szCs w:val="20"/>
              </w:rPr>
              <w:t xml:space="preserve">Date</w:t>
            </w:r>
          </w:p>
        </w:tc>
        <w:tc>
          <w:tcPr>
            <w:tcW w:type="dxa" w:w="716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color w:val="1A1A2E"/>
                <w:sz w:val="20"/>
                <w:szCs w:val="20"/>
              </w:rPr>
              <w:t xml:space="preserve">May 4, 2026</w:t>
            </w:r>
          </w:p>
        </w:tc>
      </w:tr>
    </w:tbl>
    <w:p>
      <w:pPr>
        <w:pBdr>
          <w:bottom w:val="single" w:color="CBD5E0" w:sz="4" w:space="1"/>
        </w:pBdr>
        <w:spacing w:after="200" w:before="200"/>
      </w:pPr>
    </w:p>
    <w:p>
      <w:pPr>
        <w:pStyle w:val="Heading1"/>
        <w:pBdr>
          <w:bottom w:val="single" w:color="0070B8" w:sz="6" w:space="4"/>
        </w:pBdr>
        <w:spacing w:after="160" w:before="320"/>
      </w:pPr>
      <w:r>
        <w:rPr>
          <w:rFonts w:ascii="Arial" w:cs="Arial" w:eastAsia="Arial" w:hAnsi="Arial"/>
          <w:b/>
          <w:bCs/>
          <w:color w:val="0070B8"/>
          <w:sz w:val="32"/>
          <w:szCs w:val="32"/>
        </w:rPr>
        <w:t xml:space="preserve">1. Purpose of This Document</w:t>
      </w:r>
    </w:p>
    <w:p>
      <w:pPr>
        <w:spacing w:after="60" w:before="60"/>
      </w:pPr>
      <w:r>
        <w:rPr>
          <w:rFonts w:ascii="Arial" w:cs="Arial" w:eastAsia="Arial" w:hAnsi="Arial"/>
          <w:b w:val="false"/>
          <w:bCs w:val="false"/>
          <w:i w:val="false"/>
          <w:iCs w:val="false"/>
          <w:color w:val="1A1A2E"/>
          <w:sz w:val="22"/>
          <w:szCs w:val="22"/>
        </w:rPr>
        <w:t xml:space="preserve">This document supports internal approval, IT security review, and procurement evaluation of Bridger for use in database migration planning projects. It describes what the software does, how it handles data, its licensing terms, and the business case for adoption.</w:t>
      </w:r>
    </w:p>
    <w:p>
      <w:pPr>
        <w:spacing w:after="60" w:before="60"/>
      </w:pPr>
      <w:r>
        <w:rPr>
          <w:rFonts w:ascii="Arial" w:cs="Arial" w:eastAsia="Arial" w:hAnsi="Arial"/>
          <w:b w:val="false"/>
          <w:bCs w:val="false"/>
          <w:i w:val="false"/>
          <w:iCs w:val="false"/>
          <w:color w:val="1A1A2E"/>
          <w:sz w:val="22"/>
          <w:szCs w:val="22"/>
        </w:rPr>
        <w:t xml:space="preserve">It may be adapted to fit your organization's standard software approval template.</w:t>
      </w:r>
    </w:p>
    <w:p>
      <w:pPr>
        <w:pBdr>
          <w:bottom w:val="single" w:color="CBD5E0" w:sz="4" w:space="1"/>
        </w:pBdr>
        <w:spacing w:after="200" w:before="200"/>
      </w:pPr>
    </w:p>
    <w:p>
      <w:pPr>
        <w:pStyle w:val="Heading1"/>
        <w:pBdr>
          <w:bottom w:val="single" w:color="0070B8" w:sz="6" w:space="4"/>
        </w:pBdr>
        <w:spacing w:after="160" w:before="320"/>
      </w:pPr>
      <w:r>
        <w:rPr>
          <w:rFonts w:ascii="Arial" w:cs="Arial" w:eastAsia="Arial" w:hAnsi="Arial"/>
          <w:b/>
          <w:bCs/>
          <w:color w:val="0070B8"/>
          <w:sz w:val="32"/>
          <w:szCs w:val="32"/>
        </w:rPr>
        <w:t xml:space="preserve">2. What Bridger Does</w:t>
      </w:r>
    </w:p>
    <w:p>
      <w:pPr>
        <w:spacing w:after="60" w:before="60"/>
      </w:pPr>
      <w:r>
        <w:rPr>
          <w:rFonts w:ascii="Arial" w:cs="Arial" w:eastAsia="Arial" w:hAnsi="Arial"/>
          <w:b w:val="false"/>
          <w:bCs w:val="false"/>
          <w:i w:val="false"/>
          <w:iCs w:val="false"/>
          <w:color w:val="1A1A2E"/>
          <w:sz w:val="22"/>
          <w:szCs w:val="22"/>
        </w:rPr>
        <w:t xml:space="preserve">Bridger is a professional desktop application for planning, documenting, and validating complex database-to-database migrations. It provides structured workspaces for data migration teams to manage column-level mapping specifications from initial schema import through final validation.</w:t>
      </w:r>
    </w:p>
    <w:p>
      <w:pPr>
        <w:spacing w:after="60" w:before="60"/>
      </w:pPr>
      <w:r>
        <w:rPr>
          <w:rFonts w:ascii="Arial" w:cs="Arial" w:eastAsia="Arial" w:hAnsi="Arial"/>
          <w:b w:val="false"/>
          <w:bCs w:val="false"/>
          <w:i w:val="false"/>
          <w:iCs w:val="false"/>
          <w:color w:val="1A1A2E"/>
          <w:sz w:val="22"/>
          <w:szCs w:val="22"/>
        </w:rPr>
        <w:t xml:space="preserve"/>
      </w:r>
    </w:p>
    <w:p>
      <w:pPr>
        <w:pStyle w:val="Heading2"/>
        <w:spacing w:after="120" w:before="240"/>
      </w:pPr>
      <w:r>
        <w:rPr>
          <w:rFonts w:ascii="Arial" w:cs="Arial" w:eastAsia="Arial" w:hAnsi="Arial"/>
          <w:b/>
          <w:bCs/>
          <w:color w:val="1B4F72"/>
          <w:sz w:val="26"/>
          <w:szCs w:val="26"/>
        </w:rPr>
        <w:t xml:space="preserve">Core capabilities</w:t>
      </w:r>
    </w:p>
    <w:p>
      <w:pPr>
        <w:pStyle w:val="ListParagraph"/>
        <w:numPr>
          <w:ilvl w:val="0"/>
          <w:numId w:val="2"/>
        </w:numPr>
        <w:spacing w:after="40" w:before="40"/>
      </w:pPr>
      <w:r>
        <w:rPr>
          <w:rFonts w:ascii="Arial" w:cs="Arial" w:eastAsia="Arial" w:hAnsi="Arial"/>
          <w:color w:val="1A1A2E"/>
          <w:sz w:val="22"/>
          <w:szCs w:val="22"/>
        </w:rPr>
        <w:t xml:space="preserve">Import source and target database schemas from CSV, DDL, SQL, JSON, or Excel</w:t>
      </w:r>
    </w:p>
    <w:p>
      <w:pPr>
        <w:pStyle w:val="ListParagraph"/>
        <w:numPr>
          <w:ilvl w:val="0"/>
          <w:numId w:val="2"/>
        </w:numPr>
        <w:spacing w:after="40" w:before="40"/>
      </w:pPr>
      <w:r>
        <w:rPr>
          <w:rFonts w:ascii="Arial" w:cs="Arial" w:eastAsia="Arial" w:hAnsi="Arial"/>
          <w:color w:val="1A1A2E"/>
          <w:sz w:val="22"/>
          <w:szCs w:val="22"/>
        </w:rPr>
        <w:t xml:space="preserve">Build and manage column-level mapping workbooks with transformation logic, status tracking, and notations</w:t>
      </w:r>
    </w:p>
    <w:p>
      <w:pPr>
        <w:pStyle w:val="ListParagraph"/>
        <w:numPr>
          <w:ilvl w:val="0"/>
          <w:numId w:val="2"/>
        </w:numPr>
        <w:spacing w:after="40" w:before="40"/>
      </w:pPr>
      <w:r>
        <w:rPr>
          <w:rFonts w:ascii="Arial" w:cs="Arial" w:eastAsia="Arial" w:hAnsi="Arial"/>
          <w:color w:val="1A1A2E"/>
          <w:sz w:val="22"/>
          <w:szCs w:val="22"/>
        </w:rPr>
        <w:t xml:space="preserve">Define reusable transformation patterns in a shared library</w:t>
      </w:r>
    </w:p>
    <w:p>
      <w:pPr>
        <w:pStyle w:val="ListParagraph"/>
        <w:numPr>
          <w:ilvl w:val="0"/>
          <w:numId w:val="2"/>
        </w:numPr>
        <w:spacing w:after="40" w:before="40"/>
      </w:pPr>
      <w:r>
        <w:rPr>
          <w:rFonts w:ascii="Arial" w:cs="Arial" w:eastAsia="Arial" w:hAnsi="Arial"/>
          <w:color w:val="1A1A2E"/>
          <w:sz w:val="22"/>
          <w:szCs w:val="22"/>
        </w:rPr>
        <w:t xml:space="preserve">Model complex many-to-one source relationships (multiple legacy tables feeding a single target)</w:t>
      </w:r>
    </w:p>
    <w:p>
      <w:pPr>
        <w:pStyle w:val="ListParagraph"/>
        <w:numPr>
          <w:ilvl w:val="0"/>
          <w:numId w:val="2"/>
        </w:numPr>
        <w:spacing w:after="40" w:before="40"/>
      </w:pPr>
      <w:r>
        <w:rPr>
          <w:rFonts w:ascii="Arial" w:cs="Arial" w:eastAsia="Arial" w:hAnsi="Arial"/>
          <w:color w:val="1A1A2E"/>
          <w:sz w:val="22"/>
          <w:szCs w:val="22"/>
        </w:rPr>
        <w:t xml:space="preserve">Generate formatted Excel mapping reports and client deliverables</w:t>
      </w:r>
    </w:p>
    <w:p>
      <w:pPr>
        <w:pStyle w:val="ListParagraph"/>
        <w:numPr>
          <w:ilvl w:val="0"/>
          <w:numId w:val="2"/>
        </w:numPr>
        <w:spacing w:after="40" w:before="40"/>
      </w:pPr>
      <w:r>
        <w:rPr>
          <w:rFonts w:ascii="Arial" w:cs="Arial" w:eastAsia="Arial" w:hAnsi="Arial"/>
          <w:color w:val="1A1A2E"/>
          <w:sz w:val="22"/>
          <w:szCs w:val="22"/>
        </w:rPr>
        <w:t xml:space="preserve">Generate dialect-aware SQL validation scripts for post-migration verification</w:t>
      </w:r>
    </w:p>
    <w:p>
      <w:pPr>
        <w:pStyle w:val="ListParagraph"/>
        <w:numPr>
          <w:ilvl w:val="0"/>
          <w:numId w:val="2"/>
        </w:numPr>
        <w:spacing w:after="40" w:before="40"/>
      </w:pPr>
      <w:r>
        <w:rPr>
          <w:rFonts w:ascii="Arial" w:cs="Arial" w:eastAsia="Arial" w:hAnsi="Arial"/>
          <w:color w:val="1A1A2E"/>
          <w:sz w:val="22"/>
          <w:szCs w:val="22"/>
        </w:rPr>
        <w:t xml:space="preserve">Compare and merge workbooks from multiple team members</w:t>
      </w:r>
    </w:p>
    <w:p>
      <w:pPr>
        <w:pStyle w:val="ListParagraph"/>
        <w:numPr>
          <w:ilvl w:val="0"/>
          <w:numId w:val="2"/>
        </w:numPr>
        <w:spacing w:after="40" w:before="40"/>
      </w:pPr>
      <w:r>
        <w:rPr>
          <w:rFonts w:ascii="Arial" w:cs="Arial" w:eastAsia="Arial" w:hAnsi="Arial"/>
          <w:color w:val="1A1A2E"/>
          <w:sz w:val="22"/>
          <w:szCs w:val="22"/>
        </w:rPr>
        <w:t xml:space="preserve">Optionally connect to a local AI model (Ollama, running on the same machine) for mapping suggestions</w:t>
      </w:r>
    </w:p>
    <w:p>
      <w:pPr>
        <w:spacing w:after="60" w:before="60"/>
      </w:pPr>
      <w:r>
        <w:rPr>
          <w:rFonts w:ascii="Arial" w:cs="Arial" w:eastAsia="Arial" w:hAnsi="Arial"/>
          <w:b w:val="false"/>
          <w:bCs w:val="false"/>
          <w:i w:val="false"/>
          <w:iCs w:val="false"/>
          <w:color w:val="1A1A2E"/>
          <w:sz w:val="22"/>
          <w:szCs w:val="22"/>
        </w:rPr>
        <w:t xml:space="preserve"/>
      </w:r>
    </w:p>
    <w:p>
      <w:pPr>
        <w:pStyle w:val="Heading2"/>
        <w:spacing w:after="120" w:before="240"/>
      </w:pPr>
      <w:r>
        <w:rPr>
          <w:rFonts w:ascii="Arial" w:cs="Arial" w:eastAsia="Arial" w:hAnsi="Arial"/>
          <w:b/>
          <w:bCs/>
          <w:color w:val="1B4F72"/>
          <w:sz w:val="26"/>
          <w:szCs w:val="26"/>
        </w:rPr>
        <w:t xml:space="preserve">What Bridger is not</w:t>
      </w:r>
    </w:p>
    <w:p>
      <w:pPr>
        <w:spacing w:after="60" w:before="60"/>
      </w:pPr>
      <w:r>
        <w:rPr>
          <w:rFonts w:ascii="Arial" w:cs="Arial" w:eastAsia="Arial" w:hAnsi="Arial"/>
          <w:b w:val="false"/>
          <w:bCs w:val="false"/>
          <w:i w:val="false"/>
          <w:iCs w:val="false"/>
          <w:color w:val="1A1A2E"/>
          <w:sz w:val="22"/>
          <w:szCs w:val="22"/>
        </w:rPr>
        <w:t xml:space="preserve">Bridger is a planning and documentation tool. It does not connect to, query, or modify any database. It reads schema definition files you provide and produces mapping documents and validation scripts. No live database access occurs at any point.</w:t>
      </w:r>
    </w:p>
    <w:p>
      <w:pPr>
        <w:pBdr>
          <w:bottom w:val="single" w:color="CBD5E0" w:sz="4" w:space="1"/>
        </w:pBdr>
        <w:spacing w:after="200" w:before="200"/>
      </w:pPr>
    </w:p>
    <w:p>
      <w:pPr>
        <w:pStyle w:val="Heading1"/>
        <w:pBdr>
          <w:bottom w:val="single" w:color="0070B8" w:sz="6" w:space="4"/>
        </w:pBdr>
        <w:spacing w:after="160" w:before="320"/>
      </w:pPr>
      <w:r>
        <w:rPr>
          <w:rFonts w:ascii="Arial" w:cs="Arial" w:eastAsia="Arial" w:hAnsi="Arial"/>
          <w:b/>
          <w:bCs/>
          <w:color w:val="0070B8"/>
          <w:sz w:val="32"/>
          <w:szCs w:val="32"/>
        </w:rPr>
        <w:t xml:space="preserve">3. Security &amp; Data Handling</w:t>
      </w:r>
    </w:p>
    <w:p>
      <w:pPr>
        <w:spacing w:after="60" w:before="60"/>
      </w:pPr>
      <w:r>
        <w:rPr>
          <w:rFonts w:ascii="Arial" w:cs="Arial" w:eastAsia="Arial" w:hAnsi="Arial"/>
          <w:b w:val="false"/>
          <w:bCs w:val="false"/>
          <w:i w:val="false"/>
          <w:iCs w:val="false"/>
          <w:color w:val="1A1A2E"/>
          <w:sz w:val="22"/>
          <w:szCs w:val="22"/>
        </w:rPr>
        <w:t xml:space="preserve">Bridger's security profile is straightforward and verifiable.</w:t>
      </w:r>
    </w:p>
    <w:p>
      <w:pPr>
        <w:spacing w:after="60" w:before="60"/>
      </w:pPr>
      <w:r>
        <w:rPr>
          <w:rFonts w:ascii="Arial" w:cs="Arial" w:eastAsia="Arial" w:hAnsi="Arial"/>
          <w:b w:val="false"/>
          <w:bCs w:val="false"/>
          <w:i w:val="false"/>
          <w:iCs w:val="false"/>
          <w:color w:val="1A1A2E"/>
          <w:sz w:val="22"/>
          <w:szCs w:val="22"/>
        </w:rPr>
        <w:t xml:space="preserve"/>
      </w:r>
    </w:p>
    <w:p>
      <w:pPr>
        <w:pStyle w:val="Heading2"/>
        <w:spacing w:after="120" w:before="240"/>
      </w:pPr>
      <w:r>
        <w:rPr>
          <w:rFonts w:ascii="Arial" w:cs="Arial" w:eastAsia="Arial" w:hAnsi="Arial"/>
          <w:b/>
          <w:bCs/>
          <w:color w:val="1B4F72"/>
          <w:sz w:val="26"/>
          <w:szCs w:val="26"/>
        </w:rPr>
        <w:t xml:space="preserve">Network activity</w:t>
      </w:r>
    </w:p>
    <w:p>
      <w:pPr>
        <w:pStyle w:val="ListParagraph"/>
        <w:numPr>
          <w:ilvl w:val="0"/>
          <w:numId w:val="2"/>
        </w:numPr>
        <w:spacing w:after="40" w:before="40"/>
      </w:pPr>
      <w:r>
        <w:rPr>
          <w:rFonts w:ascii="Arial" w:cs="Arial" w:eastAsia="Arial" w:hAnsi="Arial"/>
          <w:color w:val="1A1A2E"/>
          <w:sz w:val="22"/>
          <w:szCs w:val="22"/>
        </w:rPr>
        <w:t xml:space="preserve">Bridger makes no outbound network connections during normal operation.</w:t>
      </w:r>
    </w:p>
    <w:p>
      <w:pPr>
        <w:pStyle w:val="ListParagraph"/>
        <w:numPr>
          <w:ilvl w:val="0"/>
          <w:numId w:val="2"/>
        </w:numPr>
        <w:spacing w:after="40" w:before="40"/>
      </w:pPr>
      <w:r>
        <w:rPr>
          <w:rFonts w:ascii="Arial" w:cs="Arial" w:eastAsia="Arial" w:hAnsi="Arial"/>
          <w:color w:val="1A1A2E"/>
          <w:sz w:val="22"/>
          <w:szCs w:val="22"/>
        </w:rPr>
        <w:t xml:space="preserve">There is no license server, no activation call, no telemetry, and no usage reporting.</w:t>
      </w:r>
    </w:p>
    <w:p>
      <w:pPr>
        <w:pStyle w:val="ListParagraph"/>
        <w:numPr>
          <w:ilvl w:val="0"/>
          <w:numId w:val="2"/>
        </w:numPr>
        <w:spacing w:after="40" w:before="40"/>
      </w:pPr>
      <w:r>
        <w:rPr>
          <w:rFonts w:ascii="Arial" w:cs="Arial" w:eastAsia="Arial" w:hAnsi="Arial"/>
          <w:color w:val="1A1A2E"/>
          <w:sz w:val="22"/>
          <w:szCs w:val="22"/>
        </w:rPr>
        <w:t xml:space="preserve">The only optional network activity is communication with an Ollama instance. The Ollama endpoint is user-configured and can be a local process on the same workstation or an address elsewhere on the network. This feature is entirely opt-in and disabled by default. Organizations that wish to restrict it can do so by simply not configuring an endpoint.</w:t>
      </w:r>
    </w:p>
    <w:p>
      <w:pPr>
        <w:pStyle w:val="ListParagraph"/>
        <w:numPr>
          <w:ilvl w:val="0"/>
          <w:numId w:val="2"/>
        </w:numPr>
        <w:spacing w:after="40" w:before="40"/>
      </w:pPr>
      <w:r>
        <w:rPr>
          <w:rFonts w:ascii="Arial" w:cs="Arial" w:eastAsia="Arial" w:hAnsi="Arial"/>
          <w:color w:val="1A1A2E"/>
          <w:sz w:val="22"/>
          <w:szCs w:val="22"/>
        </w:rPr>
        <w:t xml:space="preserve">Security teams can verify the absence of external connections through standard network monitoring. There is nothing to configure or block.</w:t>
      </w:r>
    </w:p>
    <w:p>
      <w:pPr>
        <w:spacing w:after="60" w:before="60"/>
      </w:pPr>
      <w:r>
        <w:rPr>
          <w:rFonts w:ascii="Arial" w:cs="Arial" w:eastAsia="Arial" w:hAnsi="Arial"/>
          <w:b w:val="false"/>
          <w:bCs w:val="false"/>
          <w:i w:val="false"/>
          <w:iCs w:val="false"/>
          <w:color w:val="1A1A2E"/>
          <w:sz w:val="22"/>
          <w:szCs w:val="22"/>
        </w:rPr>
        <w:t xml:space="preserve"/>
      </w:r>
    </w:p>
    <w:p>
      <w:pPr>
        <w:pStyle w:val="Heading2"/>
        <w:spacing w:after="120" w:before="240"/>
      </w:pPr>
      <w:r>
        <w:rPr>
          <w:rFonts w:ascii="Arial" w:cs="Arial" w:eastAsia="Arial" w:hAnsi="Arial"/>
          <w:b/>
          <w:bCs/>
          <w:color w:val="1B4F72"/>
          <w:sz w:val="26"/>
          <w:szCs w:val="26"/>
        </w:rPr>
        <w:t xml:space="preserve">Data handling</w:t>
      </w:r>
    </w:p>
    <w:p>
      <w:pPr>
        <w:pStyle w:val="ListParagraph"/>
        <w:numPr>
          <w:ilvl w:val="0"/>
          <w:numId w:val="2"/>
        </w:numPr>
        <w:spacing w:after="40" w:before="40"/>
      </w:pPr>
      <w:r>
        <w:rPr>
          <w:rFonts w:ascii="Arial" w:cs="Arial" w:eastAsia="Arial" w:hAnsi="Arial"/>
          <w:color w:val="1A1A2E"/>
          <w:sz w:val="22"/>
          <w:szCs w:val="22"/>
        </w:rPr>
        <w:t xml:space="preserve">All schema data, mapping content, and project files remain on the user's workstation.</w:t>
      </w:r>
    </w:p>
    <w:p>
      <w:pPr>
        <w:pStyle w:val="ListParagraph"/>
        <w:numPr>
          <w:ilvl w:val="0"/>
          <w:numId w:val="2"/>
        </w:numPr>
        <w:spacing w:after="40" w:before="40"/>
      </w:pPr>
      <w:r>
        <w:rPr>
          <w:rFonts w:ascii="Arial" w:cs="Arial" w:eastAsia="Arial" w:hAnsi="Arial"/>
          <w:color w:val="1A1A2E"/>
          <w:sz w:val="22"/>
          <w:szCs w:val="22"/>
        </w:rPr>
        <w:t xml:space="preserve">No schema data, column names, transformation logic, or any project content is transmitted to any external service.</w:t>
      </w:r>
    </w:p>
    <w:p>
      <w:pPr>
        <w:pStyle w:val="ListParagraph"/>
        <w:numPr>
          <w:ilvl w:val="0"/>
          <w:numId w:val="2"/>
        </w:numPr>
        <w:spacing w:after="40" w:before="40"/>
      </w:pPr>
      <w:r>
        <w:rPr>
          <w:rFonts w:ascii="Arial" w:cs="Arial" w:eastAsia="Arial" w:hAnsi="Arial"/>
          <w:color w:val="1A1A2E"/>
          <w:sz w:val="22"/>
          <w:szCs w:val="22"/>
        </w:rPr>
        <w:t xml:space="preserve">If AI assistance is enabled, prompts are sent to the local Ollama process only — not to any cloud API.</w:t>
      </w:r>
    </w:p>
    <w:p>
      <w:pPr>
        <w:spacing w:after="60" w:before="60"/>
      </w:pPr>
      <w:r>
        <w:rPr>
          <w:rFonts w:ascii="Arial" w:cs="Arial" w:eastAsia="Arial" w:hAnsi="Arial"/>
          <w:b w:val="false"/>
          <w:bCs w:val="false"/>
          <w:i w:val="false"/>
          <w:iCs w:val="false"/>
          <w:color w:val="1A1A2E"/>
          <w:sz w:val="22"/>
          <w:szCs w:val="22"/>
        </w:rPr>
        <w:t xml:space="preserve"/>
      </w:r>
    </w:p>
    <w:p>
      <w:pPr>
        <w:pStyle w:val="Heading2"/>
        <w:spacing w:after="120" w:before="240"/>
      </w:pPr>
      <w:r>
        <w:rPr>
          <w:rFonts w:ascii="Arial" w:cs="Arial" w:eastAsia="Arial" w:hAnsi="Arial"/>
          <w:b/>
          <w:bCs/>
          <w:color w:val="1B4F72"/>
          <w:sz w:val="26"/>
          <w:szCs w:val="26"/>
        </w:rPr>
        <w:t xml:space="preserve">License mechanism</w:t>
      </w:r>
    </w:p>
    <w:p>
      <w:pPr>
        <w:pStyle w:val="ListParagraph"/>
        <w:numPr>
          <w:ilvl w:val="0"/>
          <w:numId w:val="2"/>
        </w:numPr>
        <w:spacing w:after="40" w:before="40"/>
      </w:pPr>
      <w:r>
        <w:rPr>
          <w:rFonts w:ascii="Arial" w:cs="Arial" w:eastAsia="Arial" w:hAnsi="Arial"/>
          <w:color w:val="1A1A2E"/>
          <w:sz w:val="22"/>
          <w:szCs w:val="22"/>
        </w:rPr>
        <w:t xml:space="preserve">Licensing uses a hardware fingerprint (via Windows Management Instrumentation) to tie the license file to a specific workstation.</w:t>
      </w:r>
    </w:p>
    <w:p>
      <w:pPr>
        <w:pStyle w:val="ListParagraph"/>
        <w:numPr>
          <w:ilvl w:val="0"/>
          <w:numId w:val="2"/>
        </w:numPr>
        <w:spacing w:after="40" w:before="40"/>
      </w:pPr>
      <w:r>
        <w:rPr>
          <w:rFonts w:ascii="Arial" w:cs="Arial" w:eastAsia="Arial" w:hAnsi="Arial"/>
          <w:color w:val="1A1A2E"/>
          <w:sz w:val="22"/>
          <w:szCs w:val="22"/>
        </w:rPr>
        <w:t xml:space="preserve">License validation is performed entirely offline against the local license file. No license server is contacted.</w:t>
      </w:r>
    </w:p>
    <w:p>
      <w:pPr>
        <w:pStyle w:val="ListParagraph"/>
        <w:numPr>
          <w:ilvl w:val="0"/>
          <w:numId w:val="2"/>
        </w:numPr>
        <w:spacing w:after="40" w:before="40"/>
      </w:pPr>
      <w:r>
        <w:rPr>
          <w:rFonts w:ascii="Arial" w:cs="Arial" w:eastAsia="Arial" w:hAnsi="Arial"/>
          <w:color w:val="1A1A2E"/>
          <w:sz w:val="22"/>
          <w:szCs w:val="22"/>
        </w:rPr>
        <w:t xml:space="preserve">WMI is used only at license check time and only to read machine identifiers. No system configuration is modified.</w:t>
      </w:r>
    </w:p>
    <w:p>
      <w:pPr>
        <w:spacing w:after="60" w:before="60"/>
      </w:pPr>
      <w:r>
        <w:rPr>
          <w:rFonts w:ascii="Arial" w:cs="Arial" w:eastAsia="Arial" w:hAnsi="Arial"/>
          <w:b w:val="false"/>
          <w:bCs w:val="false"/>
          <w:i w:val="false"/>
          <w:iCs w:val="false"/>
          <w:color w:val="1A1A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B4F72"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Security Concern</w:t>
            </w:r>
          </w:p>
        </w:tc>
        <w:tc>
          <w:tcPr>
            <w:tcW w:type="dxa" w:w="6240"/>
            <w:tcBorders>
              <w:top w:val="single" w:color="CCCCCC" w:sz="1"/>
              <w:left w:val="single" w:color="CCCCCC" w:sz="1"/>
              <w:bottom w:val="single" w:color="CCCCCC" w:sz="1"/>
              <w:right w:val="single" w:color="CCCCCC" w:sz="1"/>
            </w:tcBorders>
            <w:shd w:fill="1B4F72"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Bridger Answer</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Outbound internet traffic</w:t>
            </w:r>
          </w:p>
        </w:tc>
        <w:tc>
          <w:tcPr>
            <w:tcW w:type="dxa" w:w="6240"/>
            <w:tcBorders>
              <w:top w:val="single" w:color="CCCCCC" w:sz="1"/>
              <w:left w:val="single" w:color="CCCCCC" w:sz="1"/>
              <w:bottom w:val="single" w:color="CCCCCC" w:sz="1"/>
              <w:right w:val="single" w:color="CCCCCC" w:sz="1"/>
            </w:tcBorders>
            <w:shd w:fill="D1FAE5" w:val="clear"/>
            <w:tcMar>
              <w:top w:type="dxa" w:w="100"/>
              <w:left w:type="dxa" w:w="140"/>
              <w:bottom w:type="dxa" w:w="100"/>
              <w:right w:type="dxa" w:w="140"/>
            </w:tcMar>
            <w:vAlign w:val="center"/>
          </w:tcPr>
          <w:p>
            <w:pPr>
              <w:jc w:val="left"/>
            </w:pPr>
            <w:r>
              <w:rPr>
                <w:rFonts w:ascii="Arial" w:cs="Arial" w:eastAsia="Arial" w:hAnsi="Arial"/>
                <w:b w:val="false"/>
                <w:bCs w:val="false"/>
                <w:color w:val="155724"/>
                <w:sz w:val="20"/>
                <w:szCs w:val="20"/>
              </w:rPr>
              <w:t xml:space="preserve">None. No calls to external servers of any kind.</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Telemetry / usage reporting</w:t>
            </w:r>
          </w:p>
        </w:tc>
        <w:tc>
          <w:tcPr>
            <w:tcW w:type="dxa" w:w="6240"/>
            <w:tcBorders>
              <w:top w:val="single" w:color="CCCCCC" w:sz="1"/>
              <w:left w:val="single" w:color="CCCCCC" w:sz="1"/>
              <w:bottom w:val="single" w:color="CCCCCC" w:sz="1"/>
              <w:right w:val="single" w:color="CCCCCC" w:sz="1"/>
            </w:tcBorders>
            <w:shd w:fill="D1FAE5" w:val="clear"/>
            <w:tcMar>
              <w:top w:type="dxa" w:w="100"/>
              <w:left w:type="dxa" w:w="140"/>
              <w:bottom w:type="dxa" w:w="100"/>
              <w:right w:type="dxa" w:w="140"/>
            </w:tcMar>
            <w:vAlign w:val="center"/>
          </w:tcPr>
          <w:p>
            <w:pPr>
              <w:jc w:val="left"/>
            </w:pPr>
            <w:r>
              <w:rPr>
                <w:rFonts w:ascii="Arial" w:cs="Arial" w:eastAsia="Arial" w:hAnsi="Arial"/>
                <w:b w:val="false"/>
                <w:bCs w:val="false"/>
                <w:color w:val="155724"/>
                <w:sz w:val="20"/>
                <w:szCs w:val="20"/>
              </w:rPr>
              <w:t xml:space="preserve">None. No usage data is collected or transmitted.</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Cloud storage of schema data</w:t>
            </w:r>
          </w:p>
        </w:tc>
        <w:tc>
          <w:tcPr>
            <w:tcW w:type="dxa" w:w="6240"/>
            <w:tcBorders>
              <w:top w:val="single" w:color="CCCCCC" w:sz="1"/>
              <w:left w:val="single" w:color="CCCCCC" w:sz="1"/>
              <w:bottom w:val="single" w:color="CCCCCC" w:sz="1"/>
              <w:right w:val="single" w:color="CCCCCC" w:sz="1"/>
            </w:tcBorders>
            <w:shd w:fill="D1FAE5" w:val="clear"/>
            <w:tcMar>
              <w:top w:type="dxa" w:w="100"/>
              <w:left w:type="dxa" w:w="140"/>
              <w:bottom w:type="dxa" w:w="100"/>
              <w:right w:type="dxa" w:w="140"/>
            </w:tcMar>
            <w:vAlign w:val="center"/>
          </w:tcPr>
          <w:p>
            <w:pPr>
              <w:jc w:val="left"/>
            </w:pPr>
            <w:r>
              <w:rPr>
                <w:rFonts w:ascii="Arial" w:cs="Arial" w:eastAsia="Arial" w:hAnsi="Arial"/>
                <w:b w:val="false"/>
                <w:bCs w:val="false"/>
                <w:color w:val="155724"/>
                <w:sz w:val="20"/>
                <w:szCs w:val="20"/>
              </w:rPr>
              <w:t xml:space="preserve">Never. All data stays on the local workstation.</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License server dependency</w:t>
            </w:r>
          </w:p>
        </w:tc>
        <w:tc>
          <w:tcPr>
            <w:tcW w:type="dxa" w:w="6240"/>
            <w:tcBorders>
              <w:top w:val="single" w:color="CCCCCC" w:sz="1"/>
              <w:left w:val="single" w:color="CCCCCC" w:sz="1"/>
              <w:bottom w:val="single" w:color="CCCCCC" w:sz="1"/>
              <w:right w:val="single" w:color="CCCCCC" w:sz="1"/>
            </w:tcBorders>
            <w:shd w:fill="D1FAE5" w:val="clear"/>
            <w:tcMar>
              <w:top w:type="dxa" w:w="100"/>
              <w:left w:type="dxa" w:w="140"/>
              <w:bottom w:type="dxa" w:w="100"/>
              <w:right w:type="dxa" w:w="140"/>
            </w:tcMar>
            <w:vAlign w:val="center"/>
          </w:tcPr>
          <w:p>
            <w:pPr>
              <w:jc w:val="left"/>
            </w:pPr>
            <w:r>
              <w:rPr>
                <w:rFonts w:ascii="Arial" w:cs="Arial" w:eastAsia="Arial" w:hAnsi="Arial"/>
                <w:b w:val="false"/>
                <w:bCs w:val="false"/>
                <w:color w:val="155724"/>
                <w:sz w:val="20"/>
                <w:szCs w:val="20"/>
              </w:rPr>
              <w:t xml:space="preserve">No license server. Validation is fully offline.</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AI / cloud LLM data exposure</w:t>
            </w:r>
          </w:p>
        </w:tc>
        <w:tc>
          <w:tcPr>
            <w:tcW w:type="dxa" w:w="6240"/>
            <w:tcBorders>
              <w:top w:val="single" w:color="CCCCCC" w:sz="1"/>
              <w:left w:val="single" w:color="CCCCCC" w:sz="1"/>
              <w:bottom w:val="single" w:color="CCCCCC" w:sz="1"/>
              <w:right w:val="single" w:color="CCCCCC" w:sz="1"/>
            </w:tcBorders>
            <w:shd w:fill="D1FAE5" w:val="clear"/>
            <w:tcMar>
              <w:top w:type="dxa" w:w="100"/>
              <w:left w:type="dxa" w:w="140"/>
              <w:bottom w:type="dxa" w:w="100"/>
              <w:right w:type="dxa" w:w="140"/>
            </w:tcMar>
            <w:vAlign w:val="center"/>
          </w:tcPr>
          <w:p>
            <w:pPr>
              <w:jc w:val="left"/>
            </w:pPr>
            <w:r>
              <w:rPr>
                <w:rFonts w:ascii="Arial" w:cs="Arial" w:eastAsia="Arial" w:hAnsi="Arial"/>
                <w:b w:val="false"/>
                <w:bCs w:val="false"/>
                <w:color w:val="155724"/>
                <w:sz w:val="20"/>
                <w:szCs w:val="20"/>
              </w:rPr>
              <w:t xml:space="preserve">AI feature uses local Ollama only. No cloud AI APIs are used.</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Installer / admin rights required</w:t>
            </w:r>
          </w:p>
        </w:tc>
        <w:tc>
          <w:tcPr>
            <w:tcW w:type="dxa" w:w="6240"/>
            <w:tcBorders>
              <w:top w:val="single" w:color="CCCCCC" w:sz="1"/>
              <w:left w:val="single" w:color="CCCCCC" w:sz="1"/>
              <w:bottom w:val="single" w:color="CCCCCC" w:sz="1"/>
              <w:right w:val="single" w:color="CCCCCC" w:sz="1"/>
            </w:tcBorders>
            <w:shd w:fill="D1FAE5" w:val="clear"/>
            <w:tcMar>
              <w:top w:type="dxa" w:w="100"/>
              <w:left w:type="dxa" w:w="140"/>
              <w:bottom w:type="dxa" w:w="100"/>
              <w:right w:type="dxa" w:w="140"/>
            </w:tcMar>
            <w:vAlign w:val="center"/>
          </w:tcPr>
          <w:p>
            <w:pPr>
              <w:jc w:val="left"/>
            </w:pPr>
            <w:r>
              <w:rPr>
                <w:rFonts w:ascii="Arial" w:cs="Arial" w:eastAsia="Arial" w:hAnsi="Arial"/>
                <w:b w:val="false"/>
                <w:bCs w:val="false"/>
                <w:color w:val="155724"/>
                <w:sz w:val="20"/>
                <w:szCs w:val="20"/>
              </w:rPr>
              <w:t xml:space="preserve">No installer. Extract ZIP and run. No admin rights required for operation.</w:t>
            </w:r>
          </w:p>
        </w:tc>
      </w:tr>
    </w:tbl>
    <w:p>
      <w:pPr>
        <w:pBdr>
          <w:bottom w:val="single" w:color="CBD5E0" w:sz="4" w:space="1"/>
        </w:pBdr>
        <w:spacing w:after="200" w:before="200"/>
      </w:pPr>
    </w:p>
    <w:p>
      <w:pPr>
        <w:pStyle w:val="Heading1"/>
        <w:pBdr>
          <w:bottom w:val="single" w:color="0070B8" w:sz="6" w:space="4"/>
        </w:pBdr>
        <w:spacing w:after="160" w:before="320"/>
      </w:pPr>
      <w:r>
        <w:rPr>
          <w:rFonts w:ascii="Arial" w:cs="Arial" w:eastAsia="Arial" w:hAnsi="Arial"/>
          <w:b/>
          <w:bCs/>
          <w:color w:val="0070B8"/>
          <w:sz w:val="32"/>
          <w:szCs w:val="32"/>
        </w:rPr>
        <w:t xml:space="preserve">4. Licensing Model</w:t>
      </w:r>
    </w:p>
    <w:p>
      <w:pPr>
        <w:spacing w:after="60" w:before="60"/>
      </w:pPr>
      <w:r>
        <w:rPr>
          <w:rFonts w:ascii="Arial" w:cs="Arial" w:eastAsia="Arial" w:hAnsi="Arial"/>
          <w:b w:val="false"/>
          <w:bCs w:val="false"/>
          <w:i w:val="false"/>
          <w:iCs w:val="false"/>
          <w:color w:val="1A1A2E"/>
          <w:sz w:val="22"/>
          <w:szCs w:val="22"/>
        </w:rPr>
        <w:t xml:space="preserve">Bridger is sold as a perpetual license. There is no subscription, no annual renewal, and no vendor lock-in.</w:t>
      </w:r>
    </w:p>
    <w:p>
      <w:pPr>
        <w:spacing w:after="60" w:before="60"/>
      </w:pPr>
      <w:r>
        <w:rPr>
          <w:rFonts w:ascii="Arial" w:cs="Arial" w:eastAsia="Arial" w:hAnsi="Arial"/>
          <w:b w:val="false"/>
          <w:bCs w:val="false"/>
          <w:i w:val="false"/>
          <w:iCs w:val="false"/>
          <w:color w:val="1A1A2E"/>
          <w:sz w:val="22"/>
          <w:szCs w:val="22"/>
        </w:rPr>
        <w:t xml:space="preserve"/>
      </w:r>
    </w:p>
    <w:p>
      <w:pPr>
        <w:pStyle w:val="Heading2"/>
        <w:spacing w:after="120" w:before="240"/>
      </w:pPr>
      <w:r>
        <w:rPr>
          <w:rFonts w:ascii="Arial" w:cs="Arial" w:eastAsia="Arial" w:hAnsi="Arial"/>
          <w:b/>
          <w:bCs/>
          <w:color w:val="1B4F72"/>
          <w:sz w:val="26"/>
          <w:szCs w:val="26"/>
        </w:rPr>
        <w:t xml:space="preserve">License tiers</w:t>
      </w:r>
    </w:p>
    <w:p>
      <w:pPr>
        <w:pStyle w:val="ListParagraph"/>
        <w:numPr>
          <w:ilvl w:val="0"/>
          <w:numId w:val="2"/>
        </w:numPr>
        <w:spacing w:after="40" w:before="40"/>
      </w:pPr>
      <w:r>
        <w:rPr>
          <w:rFonts w:ascii="Arial" w:cs="Arial" w:eastAsia="Arial" w:hAnsi="Arial"/>
          <w:color w:val="1A1A2E"/>
          <w:sz w:val="22"/>
          <w:szCs w:val="22"/>
        </w:rPr>
        <w:t xml:space="preserve">Individual — single seat, single machine</w:t>
      </w:r>
    </w:p>
    <w:p>
      <w:pPr>
        <w:pStyle w:val="ListParagraph"/>
        <w:numPr>
          <w:ilvl w:val="0"/>
          <w:numId w:val="2"/>
        </w:numPr>
        <w:spacing w:after="40" w:before="40"/>
      </w:pPr>
      <w:r>
        <w:rPr>
          <w:rFonts w:ascii="Arial" w:cs="Arial" w:eastAsia="Arial" w:hAnsi="Arial"/>
          <w:color w:val="1A1A2E"/>
          <w:sz w:val="22"/>
          <w:szCs w:val="22"/>
        </w:rPr>
        <w:t xml:space="preserve">Team — per seat, volume discounts available</w:t>
      </w:r>
    </w:p>
    <w:p>
      <w:pPr>
        <w:pStyle w:val="ListParagraph"/>
        <w:numPr>
          <w:ilvl w:val="0"/>
          <w:numId w:val="2"/>
        </w:numPr>
        <w:spacing w:after="40" w:before="40"/>
      </w:pPr>
      <w:r>
        <w:rPr>
          <w:rFonts w:ascii="Arial" w:cs="Arial" w:eastAsia="Arial" w:hAnsi="Arial"/>
          <w:color w:val="1A1A2E"/>
          <w:sz w:val="22"/>
          <w:szCs w:val="22"/>
        </w:rPr>
        <w:t xml:space="preserve">Enterprise — custom agreement with negotiated support</w:t>
      </w:r>
    </w:p>
    <w:p>
      <w:pPr>
        <w:spacing w:after="60" w:before="60"/>
      </w:pPr>
      <w:r>
        <w:rPr>
          <w:rFonts w:ascii="Arial" w:cs="Arial" w:eastAsia="Arial" w:hAnsi="Arial"/>
          <w:b w:val="false"/>
          <w:bCs w:val="false"/>
          <w:i w:val="false"/>
          <w:iCs w:val="false"/>
          <w:color w:val="1A1A2E"/>
          <w:sz w:val="22"/>
          <w:szCs w:val="22"/>
        </w:rPr>
        <w:t xml:space="preserve"/>
      </w:r>
    </w:p>
    <w:p>
      <w:pPr>
        <w:pStyle w:val="Heading2"/>
        <w:spacing w:after="120" w:before="240"/>
      </w:pPr>
      <w:r>
        <w:rPr>
          <w:rFonts w:ascii="Arial" w:cs="Arial" w:eastAsia="Arial" w:hAnsi="Arial"/>
          <w:b/>
          <w:bCs/>
          <w:color w:val="1B4F72"/>
          <w:sz w:val="26"/>
          <w:szCs w:val="26"/>
        </w:rPr>
        <w:t xml:space="preserve">Key terms (all tiers)</w:t>
      </w:r>
    </w:p>
    <w:p>
      <w:pPr>
        <w:pStyle w:val="ListParagraph"/>
        <w:numPr>
          <w:ilvl w:val="0"/>
          <w:numId w:val="2"/>
        </w:numPr>
        <w:spacing w:after="40" w:before="40"/>
      </w:pPr>
      <w:r>
        <w:rPr>
          <w:rFonts w:ascii="Arial" w:cs="Arial" w:eastAsia="Arial" w:hAnsi="Arial"/>
          <w:color w:val="1A1A2E"/>
          <w:sz w:val="22"/>
          <w:szCs w:val="22"/>
        </w:rPr>
        <w:t xml:space="preserve">All features are included in every tier. There are no feature-gated tiers.</w:t>
      </w:r>
    </w:p>
    <w:p>
      <w:pPr>
        <w:pStyle w:val="ListParagraph"/>
        <w:numPr>
          <w:ilvl w:val="0"/>
          <w:numId w:val="2"/>
        </w:numPr>
        <w:spacing w:after="40" w:before="40"/>
      </w:pPr>
      <w:r>
        <w:rPr>
          <w:rFonts w:ascii="Arial" w:cs="Arial" w:eastAsia="Arial" w:hAnsi="Arial"/>
          <w:color w:val="1A1A2E"/>
          <w:sz w:val="22"/>
          <w:szCs w:val="22"/>
        </w:rPr>
        <w:t xml:space="preserve">Each license includes an 18-month free update window from purchase date.</w:t>
      </w:r>
    </w:p>
    <w:p>
      <w:pPr>
        <w:pStyle w:val="ListParagraph"/>
        <w:numPr>
          <w:ilvl w:val="0"/>
          <w:numId w:val="2"/>
        </w:numPr>
        <w:spacing w:after="40" w:before="40"/>
      </w:pPr>
      <w:r>
        <w:rPr>
          <w:rFonts w:ascii="Arial" w:cs="Arial" w:eastAsia="Arial" w:hAnsi="Arial"/>
          <w:color w:val="1A1A2E"/>
          <w:sz w:val="22"/>
          <w:szCs w:val="22"/>
        </w:rPr>
        <w:t xml:space="preserve">After the update window, the installed version continues to work indefinitely.</w:t>
      </w:r>
    </w:p>
    <w:p>
      <w:pPr>
        <w:pStyle w:val="ListParagraph"/>
        <w:numPr>
          <w:ilvl w:val="0"/>
          <w:numId w:val="2"/>
        </w:numPr>
        <w:spacing w:after="40" w:before="40"/>
      </w:pPr>
      <w:r>
        <w:rPr>
          <w:rFonts w:ascii="Arial" w:cs="Arial" w:eastAsia="Arial" w:hAnsi="Arial"/>
          <w:color w:val="1A1A2E"/>
          <w:sz w:val="22"/>
          <w:szCs w:val="22"/>
        </w:rPr>
        <w:t xml:space="preserve">Newer builds are available at an upgrade price (approximately half the original license fee). Upgrading is optional.</w:t>
      </w:r>
    </w:p>
    <w:p>
      <w:pPr>
        <w:pStyle w:val="ListParagraph"/>
        <w:numPr>
          <w:ilvl w:val="0"/>
          <w:numId w:val="2"/>
        </w:numPr>
        <w:spacing w:after="40" w:before="40"/>
      </w:pPr>
      <w:r>
        <w:rPr>
          <w:rFonts w:ascii="Arial" w:cs="Arial" w:eastAsia="Arial" w:hAnsi="Arial"/>
          <w:color w:val="1A1A2E"/>
          <w:sz w:val="22"/>
          <w:szCs w:val="22"/>
        </w:rPr>
        <w:t xml:space="preserve">Licenses are machine-tied. Each tier includes a rekey allowance for hardware replacement.</w:t>
      </w:r>
    </w:p>
    <w:p>
      <w:pPr>
        <w:spacing w:after="60" w:before="60"/>
      </w:pPr>
      <w:r>
        <w:rPr>
          <w:rFonts w:ascii="Arial" w:cs="Arial" w:eastAsia="Arial" w:hAnsi="Arial"/>
          <w:b w:val="false"/>
          <w:bCs w:val="false"/>
          <w:i w:val="false"/>
          <w:iCs w:val="false"/>
          <w:color w:val="1A1A2E"/>
          <w:sz w:val="22"/>
          <w:szCs w:val="22"/>
        </w:rPr>
        <w:t xml:space="preserve"/>
      </w:r>
    </w:p>
    <w:p>
      <w:pPr>
        <w:pStyle w:val="Heading2"/>
        <w:spacing w:after="120" w:before="240"/>
      </w:pPr>
      <w:r>
        <w:rPr>
          <w:rFonts w:ascii="Arial" w:cs="Arial" w:eastAsia="Arial" w:hAnsi="Arial"/>
          <w:b/>
          <w:bCs/>
          <w:color w:val="1B4F72"/>
          <w:sz w:val="26"/>
          <w:szCs w:val="26"/>
        </w:rPr>
        <w:t xml:space="preserve">Viewer seats are free</w:t>
      </w:r>
    </w:p>
    <w:p>
      <w:pPr>
        <w:spacing w:after="60" w:before="60"/>
      </w:pPr>
      <w:r>
        <w:rPr>
          <w:rFonts w:ascii="Arial" w:cs="Arial" w:eastAsia="Arial" w:hAnsi="Arial"/>
          <w:b w:val="false"/>
          <w:bCs w:val="false"/>
          <w:i w:val="false"/>
          <w:iCs w:val="false"/>
          <w:color w:val="1A1A2E"/>
          <w:sz w:val="22"/>
          <w:szCs w:val="22"/>
        </w:rPr>
        <w:t xml:space="preserve">Project stakeholders who need to view a migration workbook — project managers, clients, business analysts, auditors, QA reviewers — can download and run Bridger without a license. Without a license, the application is read-only: mapping work is fully visible, but saving and exporting are disabled. This means reviewer access has no incremental cost.</w:t>
      </w:r>
    </w:p>
    <w:p>
      <w:pPr>
        <w:pBdr>
          <w:bottom w:val="single" w:color="CBD5E0" w:sz="4" w:space="1"/>
        </w:pBdr>
        <w:spacing w:after="200" w:before="200"/>
      </w:pPr>
    </w:p>
    <w:p>
      <w:pPr>
        <w:pStyle w:val="Heading1"/>
        <w:pBdr>
          <w:bottom w:val="single" w:color="0070B8" w:sz="6" w:space="4"/>
        </w:pBdr>
        <w:spacing w:after="160" w:before="320"/>
      </w:pPr>
      <w:r>
        <w:rPr>
          <w:rFonts w:ascii="Arial" w:cs="Arial" w:eastAsia="Arial" w:hAnsi="Arial"/>
          <w:b/>
          <w:bCs/>
          <w:color w:val="0070B8"/>
          <w:sz w:val="32"/>
          <w:szCs w:val="32"/>
        </w:rPr>
        <w:t xml:space="preserve">5. System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B4F72"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Requirement</w:t>
            </w:r>
          </w:p>
        </w:tc>
        <w:tc>
          <w:tcPr>
            <w:tcW w:type="dxa" w:w="6240"/>
            <w:tcBorders>
              <w:top w:val="single" w:color="CCCCCC" w:sz="1"/>
              <w:left w:val="single" w:color="CCCCCC" w:sz="1"/>
              <w:bottom w:val="single" w:color="CCCCCC" w:sz="1"/>
              <w:right w:val="single" w:color="CCCCCC" w:sz="1"/>
            </w:tcBorders>
            <w:shd w:fill="1B4F72"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Detail</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OS</w:t>
            </w:r>
          </w:p>
        </w:tc>
        <w:tc>
          <w:tcPr>
            <w:tcW w:type="dxa" w:w="62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Windows 10 or Windows 11 (64-bit)</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Runtime</w:t>
            </w:r>
          </w:p>
        </w:tc>
        <w:tc>
          <w:tcPr>
            <w:tcW w:type="dxa" w:w="62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.NET 9 (included or installable from Microsoft)</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Installation</w:t>
            </w:r>
          </w:p>
        </w:tc>
        <w:tc>
          <w:tcPr>
            <w:tcW w:type="dxa" w:w="62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No installer. Extract ZIP archive and run the executable.</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Admin rights</w:t>
            </w:r>
          </w:p>
        </w:tc>
        <w:tc>
          <w:tcPr>
            <w:tcW w:type="dxa" w:w="62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Not required for operation.</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Network</w:t>
            </w:r>
          </w:p>
        </w:tc>
        <w:tc>
          <w:tcPr>
            <w:tcW w:type="dxa" w:w="62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Not required. All functionality is fully offline.</w:t>
            </w:r>
          </w:p>
        </w:tc>
      </w:tr>
      <w:tr>
        <w:tc>
          <w:tcPr>
            <w:tcW w:type="dxa" w:w="3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AI feature (optional)</w:t>
            </w:r>
          </w:p>
        </w:tc>
        <w:tc>
          <w:tcPr>
            <w:tcW w:type="dxa" w:w="62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2E"/>
                <w:sz w:val="20"/>
                <w:szCs w:val="20"/>
              </w:rPr>
              <w:t xml:space="preserve">Requires Ollama installed locally. Disabled by default.</w:t>
            </w:r>
          </w:p>
        </w:tc>
      </w:tr>
    </w:tbl>
    <w:p>
      <w:pPr>
        <w:pBdr>
          <w:bottom w:val="single" w:color="CBD5E0" w:sz="4" w:space="1"/>
        </w:pBdr>
        <w:spacing w:after="200" w:before="200"/>
      </w:pPr>
    </w:p>
    <w:p>
      <w:pPr>
        <w:pStyle w:val="Heading1"/>
        <w:pBdr>
          <w:bottom w:val="single" w:color="0070B8" w:sz="6" w:space="4"/>
        </w:pBdr>
        <w:spacing w:after="160" w:before="320"/>
      </w:pPr>
      <w:r>
        <w:rPr>
          <w:rFonts w:ascii="Arial" w:cs="Arial" w:eastAsia="Arial" w:hAnsi="Arial"/>
          <w:b/>
          <w:bCs/>
          <w:color w:val="0070B8"/>
          <w:sz w:val="32"/>
          <w:szCs w:val="32"/>
        </w:rPr>
        <w:t xml:space="preserve">6. Business Case</w:t>
      </w:r>
    </w:p>
    <w:p>
      <w:pPr>
        <w:pStyle w:val="Heading2"/>
        <w:spacing w:after="120" w:before="240"/>
      </w:pPr>
      <w:r>
        <w:rPr>
          <w:rFonts w:ascii="Arial" w:cs="Arial" w:eastAsia="Arial" w:hAnsi="Arial"/>
          <w:b/>
          <w:bCs/>
          <w:color w:val="1B4F72"/>
          <w:sz w:val="26"/>
          <w:szCs w:val="26"/>
        </w:rPr>
        <w:t xml:space="preserve">The problem Bridger solves</w:t>
      </w:r>
    </w:p>
    <w:p>
      <w:pPr>
        <w:spacing w:after="60" w:before="60"/>
      </w:pPr>
      <w:r>
        <w:rPr>
          <w:rFonts w:ascii="Arial" w:cs="Arial" w:eastAsia="Arial" w:hAnsi="Arial"/>
          <w:b w:val="false"/>
          <w:bCs w:val="false"/>
          <w:i w:val="false"/>
          <w:iCs w:val="false"/>
          <w:color w:val="1A1A2E"/>
          <w:sz w:val="22"/>
          <w:szCs w:val="22"/>
        </w:rPr>
        <w:t xml:space="preserve">Data migration projects are often planned through a combination of manual effort and general-purpose tools — spreadsheets, shared documents, email threads — that were not designed for this work. The result is inconsistency between contributors, logic that exists only in someone’s head, status that is difficult to verify at a glance, and deliverables that require significant assembly before they can be shared with a client or stakeholder.</w:t>
      </w:r>
    </w:p>
    <w:p>
      <w:pPr>
        <w:spacing w:after="60" w:before="60"/>
      </w:pPr>
      <w:r>
        <w:rPr>
          <w:rFonts w:ascii="Arial" w:cs="Arial" w:eastAsia="Arial" w:hAnsi="Arial"/>
          <w:b w:val="false"/>
          <w:bCs w:val="false"/>
          <w:i w:val="false"/>
          <w:iCs w:val="false"/>
          <w:color w:val="1A1A2E"/>
          <w:sz w:val="22"/>
          <w:szCs w:val="22"/>
        </w:rPr>
        <w:t xml:space="preserve">The cost of undocumented or poorly tracked migrations shows up as:</w:t>
      </w:r>
    </w:p>
    <w:p>
      <w:pPr>
        <w:pStyle w:val="ListParagraph"/>
        <w:numPr>
          <w:ilvl w:val="0"/>
          <w:numId w:val="2"/>
        </w:numPr>
        <w:spacing w:after="40" w:before="40"/>
      </w:pPr>
      <w:r>
        <w:rPr>
          <w:rFonts w:ascii="Arial" w:cs="Arial" w:eastAsia="Arial" w:hAnsi="Arial"/>
          <w:color w:val="1A1A2E"/>
          <w:sz w:val="22"/>
          <w:szCs w:val="22"/>
        </w:rPr>
        <w:t xml:space="preserve">Rework when mappings are discovered to be incorrect during testing</w:t>
      </w:r>
    </w:p>
    <w:p>
      <w:pPr>
        <w:pStyle w:val="ListParagraph"/>
        <w:numPr>
          <w:ilvl w:val="0"/>
          <w:numId w:val="2"/>
        </w:numPr>
        <w:spacing w:after="40" w:before="40"/>
      </w:pPr>
      <w:r>
        <w:rPr>
          <w:rFonts w:ascii="Arial" w:cs="Arial" w:eastAsia="Arial" w:hAnsi="Arial"/>
          <w:color w:val="1A1A2E"/>
          <w:sz w:val="22"/>
          <w:szCs w:val="22"/>
        </w:rPr>
        <w:t xml:space="preserve">Missed columns and transformation logic lost between planning and execution</w:t>
      </w:r>
    </w:p>
    <w:p>
      <w:pPr>
        <w:pStyle w:val="ListParagraph"/>
        <w:numPr>
          <w:ilvl w:val="0"/>
          <w:numId w:val="2"/>
        </w:numPr>
        <w:spacing w:after="40" w:before="40"/>
      </w:pPr>
      <w:r>
        <w:rPr>
          <w:rFonts w:ascii="Arial" w:cs="Arial" w:eastAsia="Arial" w:hAnsi="Arial"/>
          <w:color w:val="1A1A2E"/>
          <w:sz w:val="22"/>
          <w:szCs w:val="22"/>
        </w:rPr>
        <w:t xml:space="preserve">Inability to audit or review the migration specification as a coherent document</w:t>
      </w:r>
    </w:p>
    <w:p>
      <w:pPr>
        <w:pStyle w:val="ListParagraph"/>
        <w:numPr>
          <w:ilvl w:val="0"/>
          <w:numId w:val="2"/>
        </w:numPr>
        <w:spacing w:after="40" w:before="40"/>
      </w:pPr>
      <w:r>
        <w:rPr>
          <w:rFonts w:ascii="Arial" w:cs="Arial" w:eastAsia="Arial" w:hAnsi="Arial"/>
          <w:color w:val="1A1A2E"/>
          <w:sz w:val="22"/>
          <w:szCs w:val="22"/>
        </w:rPr>
        <w:t xml:space="preserve">Stakeholder confusion from spreadsheet exports that don't reflect current state</w:t>
      </w:r>
    </w:p>
    <w:p>
      <w:pPr>
        <w:spacing w:after="60" w:before="60"/>
      </w:pPr>
      <w:r>
        <w:rPr>
          <w:rFonts w:ascii="Arial" w:cs="Arial" w:eastAsia="Arial" w:hAnsi="Arial"/>
          <w:b w:val="false"/>
          <w:bCs w:val="false"/>
          <w:i w:val="false"/>
          <w:iCs w:val="false"/>
          <w:color w:val="1A1A2E"/>
          <w:sz w:val="22"/>
          <w:szCs w:val="22"/>
        </w:rPr>
        <w:t xml:space="preserve"/>
      </w:r>
    </w:p>
    <w:p>
      <w:pPr>
        <w:pStyle w:val="Heading2"/>
        <w:spacing w:after="120" w:before="240"/>
      </w:pPr>
      <w:r>
        <w:rPr>
          <w:rFonts w:ascii="Arial" w:cs="Arial" w:eastAsia="Arial" w:hAnsi="Arial"/>
          <w:b/>
          <w:bCs/>
          <w:color w:val="1B4F72"/>
          <w:sz w:val="26"/>
          <w:szCs w:val="26"/>
        </w:rPr>
        <w:t xml:space="preserve">What structured tooling changes</w:t>
      </w:r>
    </w:p>
    <w:p>
      <w:pPr>
        <w:pStyle w:val="ListParagraph"/>
        <w:numPr>
          <w:ilvl w:val="0"/>
          <w:numId w:val="2"/>
        </w:numPr>
        <w:spacing w:after="40" w:before="40"/>
      </w:pPr>
      <w:r>
        <w:rPr>
          <w:rFonts w:ascii="Arial" w:cs="Arial" w:eastAsia="Arial" w:hAnsi="Arial"/>
          <w:color w:val="1A1A2E"/>
          <w:sz w:val="22"/>
          <w:szCs w:val="22"/>
        </w:rPr>
        <w:t xml:space="preserve">A single authoritative workbook replaces scattered spreadsheets</w:t>
      </w:r>
    </w:p>
    <w:p>
      <w:pPr>
        <w:pStyle w:val="ListParagraph"/>
        <w:numPr>
          <w:ilvl w:val="0"/>
          <w:numId w:val="2"/>
        </w:numPr>
        <w:spacing w:after="40" w:before="40"/>
      </w:pPr>
      <w:r>
        <w:rPr>
          <w:rFonts w:ascii="Arial" w:cs="Arial" w:eastAsia="Arial" w:hAnsi="Arial"/>
          <w:color w:val="1A1A2E"/>
          <w:sz w:val="22"/>
          <w:szCs w:val="22"/>
        </w:rPr>
        <w:t xml:space="preserve">Column-level status tracking makes progress visible at every point in the project</w:t>
      </w:r>
    </w:p>
    <w:p>
      <w:pPr>
        <w:pStyle w:val="ListParagraph"/>
        <w:numPr>
          <w:ilvl w:val="0"/>
          <w:numId w:val="2"/>
        </w:numPr>
        <w:spacing w:after="40" w:before="40"/>
      </w:pPr>
      <w:r>
        <w:rPr>
          <w:rFonts w:ascii="Arial" w:cs="Arial" w:eastAsia="Arial" w:hAnsi="Arial"/>
          <w:color w:val="1A1A2E"/>
          <w:sz w:val="22"/>
          <w:szCs w:val="22"/>
        </w:rPr>
        <w:t xml:space="preserve">Reusable transformation library reduces repetitive work across large schemas</w:t>
      </w:r>
    </w:p>
    <w:p>
      <w:pPr>
        <w:pStyle w:val="ListParagraph"/>
        <w:numPr>
          <w:ilvl w:val="0"/>
          <w:numId w:val="2"/>
        </w:numPr>
        <w:spacing w:after="40" w:before="40"/>
      </w:pPr>
      <w:r>
        <w:rPr>
          <w:rFonts w:ascii="Arial" w:cs="Arial" w:eastAsia="Arial" w:hAnsi="Arial"/>
          <w:color w:val="1A1A2E"/>
          <w:sz w:val="22"/>
          <w:szCs w:val="22"/>
        </w:rPr>
        <w:t xml:space="preserve">Generated validation scripts reduce post-migration QA effort</w:t>
      </w:r>
    </w:p>
    <w:p>
      <w:pPr>
        <w:pStyle w:val="ListParagraph"/>
        <w:numPr>
          <w:ilvl w:val="0"/>
          <w:numId w:val="2"/>
        </w:numPr>
        <w:spacing w:after="40" w:before="40"/>
      </w:pPr>
      <w:r>
        <w:rPr>
          <w:rFonts w:ascii="Arial" w:cs="Arial" w:eastAsia="Arial" w:hAnsi="Arial"/>
          <w:color w:val="1A1A2E"/>
          <w:sz w:val="22"/>
          <w:szCs w:val="22"/>
        </w:rPr>
        <w:t xml:space="preserve">Merge and compare tools allow distributed team collaboration without version conflicts</w:t>
      </w:r>
    </w:p>
    <w:p>
      <w:pPr>
        <w:spacing w:after="60" w:before="60"/>
      </w:pPr>
      <w:r>
        <w:rPr>
          <w:rFonts w:ascii="Arial" w:cs="Arial" w:eastAsia="Arial" w:hAnsi="Arial"/>
          <w:b w:val="false"/>
          <w:bCs w:val="false"/>
          <w:i w:val="false"/>
          <w:iCs w:val="false"/>
          <w:color w:val="1A1A2E"/>
          <w:sz w:val="22"/>
          <w:szCs w:val="22"/>
        </w:rPr>
        <w:t xml:space="preserve"/>
      </w:r>
    </w:p>
    <w:p>
      <w:pPr>
        <w:pStyle w:val="Heading2"/>
        <w:spacing w:after="120" w:before="240"/>
      </w:pPr>
      <w:r>
        <w:rPr>
          <w:rFonts w:ascii="Arial" w:cs="Arial" w:eastAsia="Arial" w:hAnsi="Arial"/>
          <w:b/>
          <w:bCs/>
          <w:color w:val="1B4F72"/>
          <w:sz w:val="26"/>
          <w:szCs w:val="26"/>
        </w:rPr>
        <w:t xml:space="preserve">Cost profile</w:t>
      </w:r>
    </w:p>
    <w:p>
      <w:pPr>
        <w:spacing w:after="60" w:before="60"/>
      </w:pPr>
      <w:r>
        <w:rPr>
          <w:rFonts w:ascii="Arial" w:cs="Arial" w:eastAsia="Arial" w:hAnsi="Arial"/>
          <w:b w:val="false"/>
          <w:bCs w:val="false"/>
          <w:i w:val="false"/>
          <w:iCs w:val="false"/>
          <w:color w:val="1A1A2E"/>
          <w:sz w:val="22"/>
          <w:szCs w:val="22"/>
        </w:rPr>
        <w:t xml:space="preserve">Bridger is a one-time purchase. There is no ongoing subscription cost and no per-user cost for read-only stakeholder access. At the team tier, volume discounts apply. Contact Bridger DMA for current pricing.</w:t>
      </w:r>
    </w:p>
    <w:p>
      <w:pPr>
        <w:spacing w:after="60" w:before="60"/>
      </w:pPr>
      <w:r>
        <w:rPr>
          <w:rFonts w:ascii="Arial" w:cs="Arial" w:eastAsia="Arial" w:hAnsi="Arial"/>
          <w:b w:val="false"/>
          <w:bCs w:val="false"/>
          <w:i w:val="false"/>
          <w:iCs w:val="false"/>
          <w:color w:val="1A1A2E"/>
          <w:sz w:val="22"/>
          <w:szCs w:val="22"/>
        </w:rPr>
        <w:t xml:space="preserve">Ad hoc support is available at a published hourly rate for onboarding, workflow review, and technical assistance.</w:t>
      </w:r>
    </w:p>
    <w:p>
      <w:pPr>
        <w:pBdr>
          <w:bottom w:val="single" w:color="CBD5E0" w:sz="4" w:space="1"/>
        </w:pBdr>
        <w:spacing w:after="200" w:before="200"/>
      </w:pPr>
    </w:p>
    <w:p>
      <w:pPr>
        <w:pStyle w:val="Heading1"/>
        <w:pBdr>
          <w:bottom w:val="single" w:color="0070B8" w:sz="6" w:space="4"/>
        </w:pBdr>
        <w:spacing w:after="160" w:before="320"/>
      </w:pPr>
      <w:r>
        <w:rPr>
          <w:rFonts w:ascii="Arial" w:cs="Arial" w:eastAsia="Arial" w:hAnsi="Arial"/>
          <w:b/>
          <w:bCs/>
          <w:color w:val="0070B8"/>
          <w:sz w:val="32"/>
          <w:szCs w:val="32"/>
        </w:rPr>
        <w:t xml:space="preserve">7. Vendor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b/>
                <w:bCs/>
                <w:color w:val="1B4F72"/>
                <w:sz w:val="20"/>
                <w:szCs w:val="20"/>
              </w:rPr>
              <w:t xml:space="preserve">Vendor name</w:t>
            </w:r>
          </w:p>
        </w:tc>
        <w:tc>
          <w:tcPr>
            <w:tcW w:type="dxa" w:w="716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color w:val="1A1A2E"/>
                <w:sz w:val="20"/>
                <w:szCs w:val="20"/>
              </w:rPr>
              <w:t xml:space="preserve">Bridger DMA</w:t>
            </w:r>
          </w:p>
        </w:tc>
      </w:tr>
      <w:tr>
        <w:tc>
          <w:tcPr>
            <w:tcW w:type="dxa" w:w="220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b/>
                <w:bCs/>
                <w:color w:val="1B4F72"/>
                <w:sz w:val="20"/>
                <w:szCs w:val="20"/>
              </w:rPr>
              <w:t xml:space="preserve">Product name</w:t>
            </w:r>
          </w:p>
        </w:tc>
        <w:tc>
          <w:tcPr>
            <w:tcW w:type="dxa" w:w="716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color w:val="1A1A2E"/>
                <w:sz w:val="20"/>
                <w:szCs w:val="20"/>
              </w:rPr>
              <w:t xml:space="preserve">Bridger</w:t>
            </w:r>
          </w:p>
        </w:tc>
      </w:tr>
      <w:tr>
        <w:tc>
          <w:tcPr>
            <w:tcW w:type="dxa" w:w="220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b/>
                <w:bCs/>
                <w:color w:val="1B4F72"/>
                <w:sz w:val="20"/>
                <w:szCs w:val="20"/>
              </w:rPr>
              <w:t xml:space="preserve">Email</w:t>
            </w:r>
          </w:p>
        </w:tc>
        <w:tc>
          <w:tcPr>
            <w:tcW w:type="dxa" w:w="716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color w:val="1A1A2E"/>
                <w:sz w:val="20"/>
                <w:szCs w:val="20"/>
              </w:rPr>
              <w:t xml:space="preserve">bridger@bridger-dma.com</w:t>
            </w:r>
          </w:p>
        </w:tc>
      </w:tr>
      <w:tr>
        <w:tc>
          <w:tcPr>
            <w:tcW w:type="dxa" w:w="220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b/>
                <w:bCs/>
                <w:color w:val="1B4F72"/>
                <w:sz w:val="20"/>
                <w:szCs w:val="20"/>
              </w:rPr>
              <w:t xml:space="preserve">Website</w:t>
            </w:r>
          </w:p>
        </w:tc>
        <w:tc>
          <w:tcPr>
            <w:tcW w:type="dxa" w:w="716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color w:val="1A1A2E"/>
                <w:sz w:val="20"/>
                <w:szCs w:val="20"/>
              </w:rPr>
              <w:t xml:space="preserve">bridger-dma.com</w:t>
            </w:r>
          </w:p>
        </w:tc>
      </w:tr>
      <w:tr>
        <w:tc>
          <w:tcPr>
            <w:tcW w:type="dxa" w:w="220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b/>
                <w:bCs/>
                <w:color w:val="1B4F72"/>
                <w:sz w:val="20"/>
                <w:szCs w:val="20"/>
              </w:rPr>
              <w:t xml:space="preserve">Support model</w:t>
            </w:r>
          </w:p>
        </w:tc>
        <w:tc>
          <w:tcPr>
            <w:tcW w:type="dxa" w:w="716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color w:val="1A1A2E"/>
                <w:sz w:val="20"/>
                <w:szCs w:val="20"/>
              </w:rPr>
              <w:t xml:space="preserve">Email support. Included hours by tier; additional ad hoc support at published rate.</w:t>
            </w:r>
          </w:p>
        </w:tc>
      </w:tr>
      <w:tr>
        <w:tc>
          <w:tcPr>
            <w:tcW w:type="dxa" w:w="220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b/>
                <w:bCs/>
                <w:color w:val="1B4F72"/>
                <w:sz w:val="20"/>
                <w:szCs w:val="20"/>
              </w:rPr>
              <w:t xml:space="preserve">Response time</w:t>
            </w:r>
          </w:p>
        </w:tc>
        <w:tc>
          <w:tcPr>
            <w:tcW w:type="dxa" w:w="7160"/>
            <w:tcBorders>
              <w:top w:val="none" w:color="FFFFFF" w:sz="0"/>
              <w:left w:val="none" w:color="FFFFFF" w:sz="0"/>
              <w:bottom w:val="none" w:color="FFFFFF" w:sz="0"/>
              <w:right w:val="none" w:color="FFFFFF" w:sz="0"/>
            </w:tcBorders>
            <w:shd w:fill="EBF5FB" w:val="clear"/>
            <w:tcMar>
              <w:top w:type="dxa" w:w="80"/>
              <w:left w:type="dxa" w:w="140"/>
              <w:bottom w:type="dxa" w:w="80"/>
              <w:right w:type="dxa" w:w="140"/>
            </w:tcMar>
          </w:tcPr>
          <w:p>
            <w:r>
              <w:rPr>
                <w:rFonts w:ascii="Arial" w:cs="Arial" w:eastAsia="Arial" w:hAnsi="Arial"/>
                <w:color w:val="1A1A2E"/>
                <w:sz w:val="20"/>
                <w:szCs w:val="20"/>
              </w:rPr>
              <w:t xml:space="preserve">1–2 business days</w:t>
            </w:r>
          </w:p>
        </w:tc>
      </w:tr>
    </w:tbl>
    <w:p>
      <w:pPr>
        <w:spacing w:after="60" w:before="60"/>
      </w:pPr>
      <w:r>
        <w:rPr>
          <w:rFonts w:ascii="Arial" w:cs="Arial" w:eastAsia="Arial" w:hAnsi="Arial"/>
          <w:b w:val="false"/>
          <w:bCs w:val="false"/>
          <w:i w:val="false"/>
          <w:iCs w:val="false"/>
          <w:color w:val="1A1A2E"/>
          <w:sz w:val="22"/>
          <w:szCs w:val="22"/>
        </w:rPr>
        <w:t xml:space="preserve"/>
      </w:r>
    </w:p>
    <w:p>
      <w:pPr>
        <w:spacing w:after="60" w:before="60"/>
      </w:pPr>
      <w:r>
        <w:rPr>
          <w:rFonts w:ascii="Arial" w:cs="Arial" w:eastAsia="Arial" w:hAnsi="Arial"/>
          <w:b w:val="false"/>
          <w:bCs w:val="false"/>
          <w:i w:val="false"/>
          <w:iCs w:val="false"/>
          <w:color w:val="4A5568"/>
          <w:sz w:val="22"/>
          <w:szCs w:val="22"/>
        </w:rPr>
        <w:t xml:space="preserve">For licensing inquiries, security questions, or to request a formal vendor questionnaire response, contact bridger@bridger-dma.com.</w:t>
      </w:r>
    </w:p>
    <w:p>
      <w:pPr>
        <w:pBdr>
          <w:bottom w:val="single" w:color="CBD5E0" w:sz="4" w:space="1"/>
        </w:pBdr>
        <w:spacing w:after="200" w:before="200"/>
      </w:pPr>
    </w:p>
    <w:p>
      <w:pPr>
        <w:spacing w:after="80" w:before="200"/>
      </w:pPr>
      <w:r>
        <w:rPr>
          <w:rFonts w:ascii="Arial" w:cs="Arial" w:eastAsia="Arial" w:hAnsi="Arial"/>
          <w:b/>
          <w:bCs/>
          <w:i/>
          <w:iCs/>
          <w:color w:val="4A5568"/>
          <w:sz w:val="20"/>
          <w:szCs w:val="20"/>
        </w:rPr>
        <w:t xml:space="preserve">Note to preparer</w:t>
      </w:r>
    </w:p>
    <w:p>
      <w:pPr>
        <w:spacing w:after="0" w:before="0"/>
      </w:pPr>
      <w:r>
        <w:rPr>
          <w:rFonts w:ascii="Arial" w:cs="Arial" w:eastAsia="Arial" w:hAnsi="Arial"/>
          <w:i/>
          <w:iCs/>
          <w:color w:val="718096"/>
          <w:sz w:val="20"/>
          <w:szCs w:val="20"/>
        </w:rPr>
        <w:t xml:space="preserve">This document is a template. Replace [Organization name] on the cover, add your internal project name, requester name, and department as required by your approval process. All technical and vendor information in this document is accurate as of the date shown.</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0" w:sz="4" w:space="4"/>
      </w:pBdr>
      <w:spacing w:before="0"/>
      <w:jc w:val="center"/>
    </w:pPr>
    <w:r>
      <w:rPr>
        <w:rFonts w:ascii="Arial" w:cs="Arial" w:eastAsia="Arial" w:hAnsi="Arial"/>
        <w:color w:val="9CA3AF"/>
        <w:sz w:val="18"/>
        <w:szCs w:val="18"/>
      </w:rPr>
      <w:t xml:space="preserve">Bridger DMA  •  bridger@bridger-dma.com  •  bridger-dma.com    |    Page </w:t>
    </w:r>
    <w:r>
      <w:rPr>
        <w:rFonts w:ascii="Arial" w:cs="Arial" w:eastAsia="Arial" w:hAnsi="Arial"/>
        <w:color w:val="9CA3AF"/>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70B8" w:sz="6" w:space="4"/>
      </w:pBdr>
      <w:spacing w:after="0"/>
    </w:pPr>
    <w:r>
      <w:rPr>
        <w:rFonts w:ascii="Arial" w:cs="Arial" w:eastAsia="Arial" w:hAnsi="Arial"/>
        <w:b/>
        <w:bCs/>
        <w:color w:val="0070B8"/>
        <w:sz w:val="22"/>
        <w:szCs w:val="22"/>
      </w:rPr>
      <w:t xml:space="preserve">BRIDGER</w:t>
    </w:r>
    <w:r>
      <w:rPr>
        <w:rFonts w:ascii="Arial" w:cs="Arial" w:eastAsia="Arial" w:hAnsi="Arial"/>
        <w:color w:val="4A5568"/>
        <w:sz w:val="22"/>
        <w:szCs w:val="22"/>
      </w:rPr>
      <w:t xml:space="preserve">   —   Software Approval &amp; Business Justification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lvl w:ilvl="1" w15:tentative="1">
      <w:start w:val="1"/>
      <w:numFmt w:val="bullet"/>
      <w:lvlText w:val="◦"/>
      <w:lvlJc w:val="left"/>
      <w:pPr>
        <w:ind w:left="108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070B8"/>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B4F72"/>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2026-05-04T20:20:42.510Z</dcterms:created>
  <dcterms:modified xsi:type="dcterms:W3CDTF">2026-05-04T20:20:42.511Z</dcterms:modified>
</cp:coreProperties>
</file>

<file path=docProps/custom.xml><?xml version="1.0" encoding="utf-8"?>
<Properties xmlns="http://schemas.openxmlformats.org/officeDocument/2006/custom-properties" xmlns:vt="http://schemas.openxmlformats.org/officeDocument/2006/docPropsVTypes"/>
</file>